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637D91F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2F7CCF" w:rsidRPr="007C4D85">
              <w:rPr>
                <w:rFonts w:cstheme="minorHAnsi"/>
                <w:bCs/>
              </w:rPr>
              <w:t>Bölüm Sekreteri</w:t>
            </w:r>
            <w:r w:rsidR="00E36FF7" w:rsidRPr="007C4D85">
              <w:rPr>
                <w:rFonts w:cstheme="minorHAnsi"/>
                <w:bCs/>
              </w:rPr>
              <w:t xml:space="preserve"> (TÖMER)</w:t>
            </w:r>
          </w:p>
          <w:p w14:paraId="48567917" w14:textId="28F4B847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E36FF7">
              <w:rPr>
                <w:rFonts w:cstheme="minorHAnsi"/>
                <w:bCs/>
              </w:rPr>
              <w:t>Merkez Müdürü</w:t>
            </w:r>
            <w:r w:rsidR="002F7CCF">
              <w:rPr>
                <w:rFonts w:cstheme="minorHAnsi"/>
                <w:b/>
              </w:rPr>
              <w:t xml:space="preserve">, </w:t>
            </w:r>
            <w:r w:rsidR="000714E1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D31FA1" w14:textId="77777777" w:rsidR="00E36FF7" w:rsidRPr="00E36FF7" w:rsidRDefault="0086710F" w:rsidP="00E36FF7">
            <w:pPr>
              <w:spacing w:after="0" w:line="276" w:lineRule="auto"/>
              <w:rPr>
                <w:rFonts w:cstheme="minorHAnsi"/>
              </w:rPr>
            </w:pPr>
            <w:r w:rsidRPr="002F7CCF">
              <w:rPr>
                <w:rFonts w:cstheme="minorHAnsi"/>
                <w:b/>
                <w:bCs/>
              </w:rPr>
              <w:t>GENEL TANIM:</w:t>
            </w:r>
            <w:r w:rsidRPr="002F7CCF">
              <w:rPr>
                <w:rFonts w:cstheme="minorHAnsi"/>
              </w:rPr>
              <w:t xml:space="preserve"> </w:t>
            </w:r>
            <w:r w:rsidR="00E36FF7" w:rsidRPr="00E36FF7">
              <w:rPr>
                <w:rFonts w:cstheme="minorHAnsi"/>
              </w:rPr>
              <w:t xml:space="preserve">Fenerbahçe Üniversitesi’nin amaç ve hedefleri doğrultusunda, bağlı olduğu merkezin </w:t>
            </w:r>
          </w:p>
          <w:p w14:paraId="3A5AE289" w14:textId="50714651" w:rsidR="0086710F" w:rsidRPr="002F7CCF" w:rsidRDefault="00E36FF7" w:rsidP="00E36FF7">
            <w:pPr>
              <w:spacing w:after="0" w:line="276" w:lineRule="auto"/>
              <w:rPr>
                <w:rFonts w:cstheme="minorHAnsi"/>
              </w:rPr>
            </w:pPr>
            <w:r w:rsidRPr="00E36FF7">
              <w:rPr>
                <w:rFonts w:cstheme="minorHAnsi"/>
              </w:rPr>
              <w:t>idari işleyişinin en etkin şekilde yürütülmesi amacıyla çalışmalar yapmak.</w:t>
            </w:r>
          </w:p>
          <w:p w14:paraId="6263A485" w14:textId="77777777" w:rsidR="00D16596" w:rsidRPr="002F7CCF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F7CCF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F7CCF">
              <w:rPr>
                <w:rFonts w:cstheme="minorHAnsi"/>
                <w:b/>
                <w:bCs/>
              </w:rPr>
              <w:t>GÖREV VE SORUMLULUKLAR:</w:t>
            </w:r>
          </w:p>
          <w:p w14:paraId="64ABC30C" w14:textId="6F8D3868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Haftalık ders programlarının hazırlanmasını sağlamak, </w:t>
            </w:r>
          </w:p>
          <w:p w14:paraId="2C66928E" w14:textId="2B61FE54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Kesinleşen sınav programları ve ders programlarının öğrencilere duyurulmasını sağlamak, </w:t>
            </w:r>
          </w:p>
          <w:p w14:paraId="76111A57" w14:textId="5722D918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Birimin tüm yazışmalarını yapmak ve gelen-giden resmi yazıları takip etmek, </w:t>
            </w:r>
          </w:p>
          <w:p w14:paraId="092C63C2" w14:textId="16C13918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Öğrencilere gerekli olan duyuruların yapılmasını sağlar, </w:t>
            </w:r>
          </w:p>
          <w:p w14:paraId="06FBCF8A" w14:textId="1189F51A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Öğretim elemanlarıyla Merkez Müdürlüğü arasındaki iletişimi sağlar, </w:t>
            </w:r>
          </w:p>
          <w:p w14:paraId="3E3EA156" w14:textId="14EBDCB7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Birim öğretim elemanları ve/veya idari personeli ile üniversitenin diğer idari birimleri arasındaki iş süreçlerini ve iletişimi sağlamak, </w:t>
            </w:r>
          </w:p>
          <w:p w14:paraId="3815E3B2" w14:textId="33742B12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Elektronik Belge Yönetim Sistemi (EBYS)’nin etkin kullanarak, gelen evrakların ilgili kişi ve birimlere dağıtmak, iş takibini yapmak, Müdürlüğün tüm resmi yazışmalarını yapmak ve arşivlemek. </w:t>
            </w:r>
          </w:p>
          <w:p w14:paraId="3ACCE261" w14:textId="2D97586E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Tüm resmi evrak süreçlerini doğru ve zamanında yapmak. </w:t>
            </w:r>
          </w:p>
          <w:p w14:paraId="1254E3F5" w14:textId="680D842E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Arşiv oluşturmak, arşiv düzenini sağlamak ve geçmiş döneme ait her türlü evrakın arşiv yönetmelikleri ve/veya kuralları doğrultusunda arşivlenmesini sağlamak. </w:t>
            </w:r>
          </w:p>
          <w:p w14:paraId="5DB9D6FD" w14:textId="15A863A3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Sınav evraklarını sorumlu öğretim elemanlarından tutanakla teslim almak ve arşivlemek. </w:t>
            </w:r>
          </w:p>
          <w:p w14:paraId="3D798F76" w14:textId="4D023EBD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Ders Saat Ücretli Öğretim Elemanlarının görevlendirme iş süreçlerini takip etmek. </w:t>
            </w:r>
          </w:p>
          <w:p w14:paraId="319BDE9E" w14:textId="0E5244EC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Öğretim Elemanlarının ders içi ve ders dışı sorunlarının çözümüne yardımcı olmak, derslerin etkin biçimde yürütülmesi için gerekli yardım ve desteği sağlamak. </w:t>
            </w:r>
          </w:p>
          <w:p w14:paraId="4AB21043" w14:textId="59D8D2E6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Yıllık İzin, Rapor, Ücretsiz İzin vb. evraklarının onay süreçlerinin tamamlanması ve işlemlerinin yapılabilmesi için İnsan Kaynakları </w:t>
            </w:r>
            <w:r>
              <w:rPr>
                <w:rFonts w:eastAsia="Times New Roman" w:cstheme="minorHAnsi"/>
                <w:lang w:eastAsia="tr-TR"/>
              </w:rPr>
              <w:t>Daire Başkanlığına</w:t>
            </w:r>
            <w:r w:rsidRPr="00E36FF7">
              <w:rPr>
                <w:rFonts w:eastAsia="Times New Roman" w:cstheme="minorHAnsi"/>
                <w:lang w:eastAsia="tr-TR"/>
              </w:rPr>
              <w:t xml:space="preserve"> bildirimini yapmak. (İzinlerin en az on beş gün önce, sağlık nedeniyle istirahat raporların ise aynı gün veya ertesi gün belgelenmesi gerekmektedir.) </w:t>
            </w:r>
          </w:p>
          <w:p w14:paraId="2C26AF16" w14:textId="50319DA1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>İlgili diğer idari birimlerle koordineli çalışmak.</w:t>
            </w:r>
          </w:p>
          <w:p w14:paraId="1CDBDA6E" w14:textId="3E75C30F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Eğitim, öğretim ile ilgili istatistiksel bilgileri tutmak ve güncellemek. (Müfredatlar, sınıf planlaması, öğrenci notlarının toplanması vs.) </w:t>
            </w:r>
          </w:p>
          <w:p w14:paraId="28881812" w14:textId="6B517EAC" w:rsidR="002F7CCF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lastRenderedPageBreak/>
              <w:t>Sorumluluğundaki akademik birimin web sayfası içeriklerini kontrol etmek, güncelleme ve değişiklikleri ilgili birimlere iletmek.</w:t>
            </w:r>
          </w:p>
          <w:p w14:paraId="6A864982" w14:textId="7EB02816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Fakülte/Yüksekokul demirbaş malzeme ihtiyaç ve kullanım listelerini yapmak ve takibini sağlamak, ihtiyaç duyulan malzemelerin temini için gerekli işlemleri yapmak. </w:t>
            </w:r>
          </w:p>
          <w:p w14:paraId="3CBEF424" w14:textId="4C0ED43F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İlgili birimin ihtiyaç duyduğu tüm bakım ve onarım işlerini takip etmek ve ilgili birimlere iletmek. </w:t>
            </w:r>
          </w:p>
          <w:p w14:paraId="73F6B485" w14:textId="77777777" w:rsid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>Öğretim elemanlarının yurt içi ve dışı bilimsel toplantılara katılması, inceleme, araştırma ve uygulama yapmak üzere görevlendirmesi işlemlerinin yapılması</w:t>
            </w:r>
            <w:r>
              <w:rPr>
                <w:rFonts w:eastAsia="Times New Roman" w:cstheme="minorHAnsi"/>
                <w:lang w:eastAsia="tr-TR"/>
              </w:rPr>
              <w:t>,</w:t>
            </w:r>
          </w:p>
          <w:p w14:paraId="6725F1FC" w14:textId="446F1147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 xml:space="preserve">Tanımlanmış olan sorumlulukları dışında üniversite koşullarının, iş kapsamının ve yönetimin getirdiği sorumlulukları da yerine getirmek. </w:t>
            </w:r>
          </w:p>
          <w:p w14:paraId="3C21B4A6" w14:textId="2818AB72" w:rsidR="00E36FF7" w:rsidRPr="00E36FF7" w:rsidRDefault="00E36FF7" w:rsidP="007C4D85">
            <w:pPr>
              <w:pStyle w:val="ListeParagraf"/>
              <w:numPr>
                <w:ilvl w:val="0"/>
                <w:numId w:val="24"/>
              </w:numPr>
              <w:spacing w:after="120" w:line="240" w:lineRule="auto"/>
              <w:ind w:left="714" w:hanging="357"/>
              <w:contextualSpacing w:val="0"/>
              <w:outlineLvl w:val="2"/>
              <w:rPr>
                <w:rFonts w:eastAsia="Times New Roman" w:cstheme="minorHAnsi"/>
                <w:lang w:eastAsia="tr-TR"/>
              </w:rPr>
            </w:pPr>
            <w:r w:rsidRPr="00E36FF7">
              <w:rPr>
                <w:rFonts w:eastAsia="Times New Roman" w:cstheme="minorHAnsi"/>
                <w:lang w:eastAsia="tr-TR"/>
              </w:rPr>
              <w:t>Rektörlük ve Genel Sekreterlik tarafından verilecek diğer görevleri yerine getirmek.</w:t>
            </w:r>
          </w:p>
          <w:p w14:paraId="172A5105" w14:textId="684EA692" w:rsidR="00C5657C" w:rsidRPr="002F7CCF" w:rsidRDefault="002F7CCF" w:rsidP="00E36FF7">
            <w:pPr>
              <w:spacing w:after="100" w:afterAutospacing="1" w:line="240" w:lineRule="auto"/>
              <w:outlineLvl w:val="2"/>
              <w:rPr>
                <w:rFonts w:cstheme="minorHAnsi"/>
              </w:rPr>
            </w:pPr>
            <w:r w:rsidRPr="002F7CCF">
              <w:rPr>
                <w:rFonts w:eastAsia="Times New Roman" w:cstheme="minorHAnsi"/>
                <w:lang w:eastAsia="tr-TR"/>
              </w:rPr>
              <w:t xml:space="preserve"> 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04CD1AC3" w14:textId="589F9DB6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>Tercihen deneyim sahibi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4B886030" w14:textId="25A740D7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Sorumluk alanlarıyla ilgili Mevzuatlara </w:t>
            </w:r>
            <w:r w:rsidR="007C4D85" w:rsidRPr="00E36FF7">
              <w:rPr>
                <w:rFonts w:eastAsia="Times New Roman" w:cstheme="minorHAnsi"/>
                <w:color w:val="000000"/>
                <w:lang w:eastAsia="tr-TR"/>
              </w:rPr>
              <w:t>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49DEF7DD" w14:textId="72716792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Resmi Yazışma kurallarına </w:t>
            </w:r>
            <w:r w:rsidR="007C4D85" w:rsidRPr="00E36FF7">
              <w:rPr>
                <w:rFonts w:eastAsia="Times New Roman" w:cstheme="minorHAnsi"/>
                <w:color w:val="000000"/>
                <w:lang w:eastAsia="tr-TR"/>
              </w:rPr>
              <w:t>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09D7BEBE" w14:textId="1950BB88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>Çok İyi derecede MS Office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4BD3041" w14:textId="4936FF9D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>Tercihen iyi derecede İngilizce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8F0EE0D" w14:textId="5DF8F9A5" w:rsidR="00E36FF7" w:rsidRPr="00E36FF7" w:rsidRDefault="00E36FF7" w:rsidP="00E36FF7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>Çözüm odaklı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36F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338E1BBD" w:rsidR="007D657E" w:rsidRPr="007D657E" w:rsidRDefault="00E36FF7" w:rsidP="00E36FF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E36FF7">
              <w:rPr>
                <w:rFonts w:eastAsia="Times New Roman" w:cstheme="minorHAnsi"/>
                <w:color w:val="000000"/>
                <w:lang w:eastAsia="tr-TR"/>
              </w:rPr>
              <w:t>İletişimi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99E2" w14:textId="77777777" w:rsidR="003D79D7" w:rsidRDefault="003D79D7" w:rsidP="00776CAC">
      <w:pPr>
        <w:spacing w:after="0" w:line="240" w:lineRule="auto"/>
      </w:pPr>
      <w:r>
        <w:separator/>
      </w:r>
    </w:p>
  </w:endnote>
  <w:endnote w:type="continuationSeparator" w:id="0">
    <w:p w14:paraId="337A3FA4" w14:textId="77777777" w:rsidR="003D79D7" w:rsidRDefault="003D79D7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B3D6" w14:textId="77777777" w:rsidR="003D79D7" w:rsidRDefault="003D79D7" w:rsidP="00776CAC">
      <w:pPr>
        <w:spacing w:after="0" w:line="240" w:lineRule="auto"/>
      </w:pPr>
      <w:r>
        <w:separator/>
      </w:r>
    </w:p>
  </w:footnote>
  <w:footnote w:type="continuationSeparator" w:id="0">
    <w:p w14:paraId="2578DD2F" w14:textId="77777777" w:rsidR="003D79D7" w:rsidRDefault="003D79D7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49B69CAF" w:rsidR="00ED7FFA" w:rsidRPr="00ED7FFA" w:rsidRDefault="002F7CC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BÖLÜM SEKRETERİ</w:t>
          </w:r>
          <w:r w:rsidR="00E36FF7">
            <w:rPr>
              <w:rFonts w:cstheme="minorHAnsi"/>
              <w:b/>
              <w:sz w:val="28"/>
              <w:szCs w:val="28"/>
            </w:rPr>
            <w:t xml:space="preserve"> TÖMER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48A22975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554B5F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</w:t>
          </w:r>
          <w:r w:rsidR="00E36FF7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72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5500BFF8" w:rsidR="000D4412" w:rsidRPr="00936686" w:rsidRDefault="00E36FF7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03.01.2025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7E11B542" w:rsidR="000D4412" w:rsidRPr="00936686" w:rsidRDefault="00554B5F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712C4E62" w:rsidR="000D4412" w:rsidRPr="00936686" w:rsidRDefault="00554B5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3" w15:restartNumberingAfterBreak="0">
    <w:nsid w:val="3D937C4D"/>
    <w:multiLevelType w:val="hybridMultilevel"/>
    <w:tmpl w:val="D7569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9"/>
  </w:num>
  <w:num w:numId="3" w16cid:durableId="384573979">
    <w:abstractNumId w:val="22"/>
  </w:num>
  <w:num w:numId="4" w16cid:durableId="563024109">
    <w:abstractNumId w:val="12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1"/>
  </w:num>
  <w:num w:numId="8" w16cid:durableId="434793065">
    <w:abstractNumId w:val="20"/>
  </w:num>
  <w:num w:numId="9" w16cid:durableId="1973750548">
    <w:abstractNumId w:val="18"/>
  </w:num>
  <w:num w:numId="10" w16cid:durableId="868638135">
    <w:abstractNumId w:val="19"/>
  </w:num>
  <w:num w:numId="11" w16cid:durableId="1597638201">
    <w:abstractNumId w:val="16"/>
  </w:num>
  <w:num w:numId="12" w16cid:durableId="1469276266">
    <w:abstractNumId w:val="17"/>
  </w:num>
  <w:num w:numId="13" w16cid:durableId="2079597754">
    <w:abstractNumId w:val="7"/>
  </w:num>
  <w:num w:numId="14" w16cid:durableId="775564106">
    <w:abstractNumId w:val="14"/>
  </w:num>
  <w:num w:numId="15" w16cid:durableId="255291065">
    <w:abstractNumId w:val="23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1"/>
  </w:num>
  <w:num w:numId="19" w16cid:durableId="1727292229">
    <w:abstractNumId w:val="10"/>
  </w:num>
  <w:num w:numId="20" w16cid:durableId="1764380796">
    <w:abstractNumId w:val="1"/>
  </w:num>
  <w:num w:numId="21" w16cid:durableId="1956717461">
    <w:abstractNumId w:val="15"/>
  </w:num>
  <w:num w:numId="22" w16cid:durableId="1129860565">
    <w:abstractNumId w:val="5"/>
  </w:num>
  <w:num w:numId="23" w16cid:durableId="1726374655">
    <w:abstractNumId w:val="2"/>
  </w:num>
  <w:num w:numId="24" w16cid:durableId="59982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E68E3"/>
    <w:rsid w:val="000F197A"/>
    <w:rsid w:val="00121FCC"/>
    <w:rsid w:val="0013603D"/>
    <w:rsid w:val="00162776"/>
    <w:rsid w:val="00164738"/>
    <w:rsid w:val="0018515E"/>
    <w:rsid w:val="0018713D"/>
    <w:rsid w:val="001F2B9C"/>
    <w:rsid w:val="00284059"/>
    <w:rsid w:val="002D5956"/>
    <w:rsid w:val="002E46E0"/>
    <w:rsid w:val="002E686F"/>
    <w:rsid w:val="002F7CCF"/>
    <w:rsid w:val="0032747E"/>
    <w:rsid w:val="00352B66"/>
    <w:rsid w:val="00365999"/>
    <w:rsid w:val="00392480"/>
    <w:rsid w:val="003B0463"/>
    <w:rsid w:val="003C5BA4"/>
    <w:rsid w:val="003D79D7"/>
    <w:rsid w:val="00437656"/>
    <w:rsid w:val="00497778"/>
    <w:rsid w:val="004B003B"/>
    <w:rsid w:val="004B12F8"/>
    <w:rsid w:val="004B31EA"/>
    <w:rsid w:val="004C4CB1"/>
    <w:rsid w:val="004E5D2F"/>
    <w:rsid w:val="00554B5F"/>
    <w:rsid w:val="006072C9"/>
    <w:rsid w:val="00624E26"/>
    <w:rsid w:val="00675F62"/>
    <w:rsid w:val="006B3F0B"/>
    <w:rsid w:val="006F0540"/>
    <w:rsid w:val="00762F78"/>
    <w:rsid w:val="00776CAC"/>
    <w:rsid w:val="007A589D"/>
    <w:rsid w:val="007A73E2"/>
    <w:rsid w:val="007C4D85"/>
    <w:rsid w:val="007C593A"/>
    <w:rsid w:val="007D657E"/>
    <w:rsid w:val="008375D3"/>
    <w:rsid w:val="0086710F"/>
    <w:rsid w:val="008A3DDB"/>
    <w:rsid w:val="008A4352"/>
    <w:rsid w:val="008B240F"/>
    <w:rsid w:val="00960FF3"/>
    <w:rsid w:val="0096602C"/>
    <w:rsid w:val="009859E6"/>
    <w:rsid w:val="009965CB"/>
    <w:rsid w:val="009A6D77"/>
    <w:rsid w:val="009E05C2"/>
    <w:rsid w:val="00A507D0"/>
    <w:rsid w:val="00A70915"/>
    <w:rsid w:val="00AA4012"/>
    <w:rsid w:val="00AD5F4A"/>
    <w:rsid w:val="00B120B7"/>
    <w:rsid w:val="00B40638"/>
    <w:rsid w:val="00BA3FE0"/>
    <w:rsid w:val="00C06314"/>
    <w:rsid w:val="00C5657C"/>
    <w:rsid w:val="00C640D7"/>
    <w:rsid w:val="00CA5607"/>
    <w:rsid w:val="00CB7335"/>
    <w:rsid w:val="00D01D50"/>
    <w:rsid w:val="00D16596"/>
    <w:rsid w:val="00D177F0"/>
    <w:rsid w:val="00D52A27"/>
    <w:rsid w:val="00D55FAB"/>
    <w:rsid w:val="00D7767C"/>
    <w:rsid w:val="00D90E8E"/>
    <w:rsid w:val="00D9180D"/>
    <w:rsid w:val="00DD2CCB"/>
    <w:rsid w:val="00E2335C"/>
    <w:rsid w:val="00E24AFA"/>
    <w:rsid w:val="00E26D0D"/>
    <w:rsid w:val="00E33DDF"/>
    <w:rsid w:val="00E36FF7"/>
    <w:rsid w:val="00E555ED"/>
    <w:rsid w:val="00EB3BEC"/>
    <w:rsid w:val="00EB7CC4"/>
    <w:rsid w:val="00ED7FFA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7958C0DF-3D89-4A66-A918-48C87D0E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4</cp:revision>
  <dcterms:created xsi:type="dcterms:W3CDTF">2026-03-13T08:32:00Z</dcterms:created>
  <dcterms:modified xsi:type="dcterms:W3CDTF">2026-03-19T05:58:00Z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